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46" w:rsidRP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center"/>
        <w:rPr>
          <w:rFonts w:ascii="Tahoma" w:hAnsi="Tahoma" w:cs="Tahoma"/>
          <w:b/>
          <w:color w:val="32312E"/>
          <w:sz w:val="23"/>
          <w:szCs w:val="23"/>
        </w:rPr>
      </w:pPr>
      <w:r w:rsidRPr="000F6946">
        <w:rPr>
          <w:rFonts w:ascii="Tahoma" w:hAnsi="Tahoma" w:cs="Tahoma"/>
          <w:b/>
          <w:color w:val="32312E"/>
          <w:sz w:val="23"/>
          <w:szCs w:val="23"/>
        </w:rPr>
        <w:t>Do zakresu działania Wydziału Gospodarki Komunalnej i Środowiska należą w szczególności następujące zadania: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center"/>
        <w:rPr>
          <w:rFonts w:ascii="Tahoma" w:hAnsi="Tahoma" w:cs="Tahoma"/>
          <w:color w:val="32312E"/>
          <w:sz w:val="23"/>
          <w:szCs w:val="23"/>
        </w:rPr>
      </w:pPr>
      <w:bookmarkStart w:id="0" w:name="_GoBack"/>
      <w:bookmarkEnd w:id="0"/>
      <w:r>
        <w:rPr>
          <w:rFonts w:ascii="Tahoma" w:hAnsi="Tahoma" w:cs="Tahoma"/>
          <w:color w:val="32312E"/>
          <w:sz w:val="23"/>
          <w:szCs w:val="23"/>
        </w:rPr>
        <w:br/>
        <w:t>   </w:t>
      </w:r>
      <w:r>
        <w:rPr>
          <w:rFonts w:ascii="Tahoma" w:hAnsi="Tahoma" w:cs="Tahoma"/>
          <w:color w:val="32312E"/>
          <w:sz w:val="23"/>
          <w:szCs w:val="23"/>
        </w:rPr>
        <w:br/>
      </w:r>
      <w:r>
        <w:rPr>
          <w:rStyle w:val="Pogrubienie"/>
          <w:rFonts w:ascii="inherit" w:hAnsi="inherit" w:cs="Tahoma"/>
          <w:color w:val="32312E"/>
          <w:sz w:val="23"/>
          <w:szCs w:val="23"/>
        </w:rPr>
        <w:t> A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1) planowanie, programowanie i zarządzanie systemem gospodarowania odpadami komunalnymi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,</w:t>
      </w:r>
      <w:r>
        <w:rPr>
          <w:rFonts w:ascii="Tahoma" w:hAnsi="Tahoma" w:cs="Tahoma"/>
          <w:color w:val="32312E"/>
          <w:sz w:val="23"/>
          <w:szCs w:val="23"/>
        </w:rPr>
        <w:br/>
        <w:t>2) nadzór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nad prawidłowym gospodarowaniem odpadami komunalnymi,</w:t>
      </w:r>
      <w:r>
        <w:rPr>
          <w:rFonts w:ascii="Tahoma" w:hAnsi="Tahoma" w:cs="Tahoma"/>
          <w:color w:val="32312E"/>
          <w:sz w:val="23"/>
          <w:szCs w:val="23"/>
        </w:rPr>
        <w:br/>
        <w:t>3) kształtowanie systemu przyrodniczego miasta i kreowanie lokalnej polityki urządzania zieleni na terenie Kielc,</w:t>
      </w:r>
      <w:r>
        <w:rPr>
          <w:rFonts w:ascii="Tahoma" w:hAnsi="Tahoma" w:cs="Tahoma"/>
          <w:color w:val="32312E"/>
          <w:sz w:val="23"/>
          <w:szCs w:val="23"/>
        </w:rPr>
        <w:br/>
        <w:t>4) planowanie i programowanie ochrony drzewostanów i zarządzanie terenami zieleni miasta,</w:t>
      </w:r>
      <w:r>
        <w:rPr>
          <w:rFonts w:ascii="Tahoma" w:hAnsi="Tahoma" w:cs="Tahoma"/>
          <w:color w:val="32312E"/>
          <w:sz w:val="23"/>
          <w:szCs w:val="23"/>
        </w:rPr>
        <w:br/>
        <w:t>5) wykonywanie zadań prowadzących do okresowych diagnoz stanu środowiska przyrodniczego miasta, planowanie i programowanie ochrony przyrody ożywionej  i krajobrazu,</w:t>
      </w:r>
      <w:r>
        <w:rPr>
          <w:rFonts w:ascii="Tahoma" w:hAnsi="Tahoma" w:cs="Tahoma"/>
          <w:color w:val="32312E"/>
          <w:sz w:val="23"/>
          <w:szCs w:val="23"/>
        </w:rPr>
        <w:br/>
        <w:t>6) prowadzenie inwentaryzacji, monitorowania oraz ewidencji i rejestrów niezbędnych w procesie zarządzania terenami zieleni i ochrony drzewostanów,</w:t>
      </w:r>
      <w:r>
        <w:rPr>
          <w:rFonts w:ascii="Tahoma" w:hAnsi="Tahoma" w:cs="Tahoma"/>
          <w:color w:val="32312E"/>
          <w:sz w:val="23"/>
          <w:szCs w:val="23"/>
        </w:rPr>
        <w:br/>
        <w:t>7) realizacja zdań z zakresu rozwoju i planowania nowych terenów zieleni oraz współudział przy ich realizacji,</w:t>
      </w:r>
      <w:r>
        <w:rPr>
          <w:rFonts w:ascii="Tahoma" w:hAnsi="Tahoma" w:cs="Tahoma"/>
          <w:color w:val="32312E"/>
          <w:sz w:val="23"/>
          <w:szCs w:val="23"/>
        </w:rPr>
        <w:br/>
        <w:t>8) opiniowanie działań inwestycyjnych i przedsięwzięć modernizacyjnych mających wpływ na zieleń, drzewostany lub z nimi kolidujących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,</w:t>
      </w:r>
      <w:r>
        <w:rPr>
          <w:rFonts w:ascii="Tahoma" w:hAnsi="Tahoma" w:cs="Tahoma"/>
          <w:color w:val="32312E"/>
          <w:sz w:val="23"/>
          <w:szCs w:val="23"/>
        </w:rPr>
        <w:br/>
        <w:t>9) nadzór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i kontrola w związku z należytym utrzymaniem, pielęgnacją i zezwoleniami na usuwanie drzew i krzewów,</w:t>
      </w:r>
      <w:r>
        <w:rPr>
          <w:rFonts w:ascii="Tahoma" w:hAnsi="Tahoma" w:cs="Tahoma"/>
          <w:color w:val="32312E"/>
          <w:sz w:val="23"/>
          <w:szCs w:val="23"/>
        </w:rPr>
        <w:br/>
        <w:t>10) prowadzenie spraw z zakresu ochrony gruntów rolnych oraz przeznaczania gruntów rolnych pod zalesienia,</w:t>
      </w:r>
      <w:r>
        <w:rPr>
          <w:rFonts w:ascii="Tahoma" w:hAnsi="Tahoma" w:cs="Tahoma"/>
          <w:color w:val="32312E"/>
          <w:sz w:val="23"/>
          <w:szCs w:val="23"/>
        </w:rPr>
        <w:br/>
        <w:t>11) prowadzenie spraw z zakresu ustawy o ochronie przyrody i prawa łowieckiego,</w:t>
      </w:r>
      <w:r>
        <w:rPr>
          <w:rFonts w:ascii="Tahoma" w:hAnsi="Tahoma" w:cs="Tahoma"/>
          <w:color w:val="32312E"/>
          <w:sz w:val="23"/>
          <w:szCs w:val="23"/>
        </w:rPr>
        <w:br/>
        <w:t>12) kontrola wykonania obowiązku ubezpieczenia OC rolników i budynków rolnych,</w:t>
      </w:r>
      <w:r>
        <w:rPr>
          <w:rFonts w:ascii="Tahoma" w:hAnsi="Tahoma" w:cs="Tahoma"/>
          <w:color w:val="32312E"/>
          <w:sz w:val="23"/>
          <w:szCs w:val="23"/>
        </w:rPr>
        <w:br/>
        <w:t>13) stwierdzanie okresów pracy w indywidualnym gospodarstwie rolnym,</w:t>
      </w:r>
      <w:r>
        <w:rPr>
          <w:rFonts w:ascii="Tahoma" w:hAnsi="Tahoma" w:cs="Tahoma"/>
          <w:color w:val="32312E"/>
          <w:sz w:val="23"/>
          <w:szCs w:val="23"/>
        </w:rPr>
        <w:br/>
        <w:t>14) przeprowadzanie kontroli przestrzegania przepisów o ochronie przyrody, ochrony środowiska, gospodarki wodno-ściekowej oraz gospodarki odpadami,</w:t>
      </w:r>
      <w:r>
        <w:rPr>
          <w:rFonts w:ascii="Tahoma" w:hAnsi="Tahoma" w:cs="Tahoma"/>
          <w:color w:val="32312E"/>
          <w:sz w:val="23"/>
          <w:szCs w:val="23"/>
        </w:rPr>
        <w:br/>
        <w:t>15) zarządzanie terenami parkowymi, cmentarzami komunalnymi, ich infrastrukturą wodno-kanalizacyjną, fontannami, pomnikami, miejskimi tablicami i słupami ogłoszeniowymi oraz   toaletami publicznymi,</w:t>
      </w:r>
      <w:r>
        <w:rPr>
          <w:rFonts w:ascii="Tahoma" w:hAnsi="Tahoma" w:cs="Tahoma"/>
          <w:color w:val="32312E"/>
          <w:sz w:val="23"/>
          <w:szCs w:val="23"/>
        </w:rPr>
        <w:br/>
        <w:t>16) oczyszczanie terenów gminy i Skarbu Państwa nie posiadających właściciela  w rozumieniu ustawy o utrzymaniu czystości i porządku w gminach (w tym czynności związanych z wycinką drzew będących zagrożeniem bezpieczeństwa dla ludzi i mienia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),</w:t>
      </w:r>
      <w:r>
        <w:rPr>
          <w:rFonts w:ascii="Tahoma" w:hAnsi="Tahoma" w:cs="Tahoma"/>
          <w:color w:val="32312E"/>
          <w:sz w:val="23"/>
          <w:szCs w:val="23"/>
        </w:rPr>
        <w:br/>
        <w:t>17) tworzenie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warunków do ograniczania bezdomności zwierząt i zapewnienie im opieki oraz wydawanie zezwoleń na posiadanie psów rasy uznanej za agresywną,</w:t>
      </w:r>
      <w:r>
        <w:rPr>
          <w:rFonts w:ascii="Tahoma" w:hAnsi="Tahoma" w:cs="Tahoma"/>
          <w:color w:val="32312E"/>
          <w:sz w:val="23"/>
          <w:szCs w:val="23"/>
        </w:rPr>
        <w:br/>
        <w:t>18) planowanie i organizacja zaopatrzenia miasta w wodę,</w:t>
      </w:r>
      <w:r>
        <w:rPr>
          <w:rFonts w:ascii="Tahoma" w:hAnsi="Tahoma" w:cs="Tahoma"/>
          <w:color w:val="32312E"/>
          <w:sz w:val="23"/>
          <w:szCs w:val="23"/>
        </w:rPr>
        <w:br/>
        <w:t>19) prowadzenie księgi inwentarzowej infrastruktury wodno-kanalizacyjnej,</w:t>
      </w:r>
      <w:r>
        <w:rPr>
          <w:rFonts w:ascii="Tahoma" w:hAnsi="Tahoma" w:cs="Tahoma"/>
          <w:color w:val="32312E"/>
          <w:sz w:val="23"/>
          <w:szCs w:val="23"/>
        </w:rPr>
        <w:br/>
        <w:t>20) dokonywanie opłat za umieszczenie przez Gminę urządzeń w pasie drogowym jak również innych związanych z umieszczeniem urządzeń infrastruktury wodno-kanalizacyjnej,</w:t>
      </w:r>
      <w:r>
        <w:rPr>
          <w:rFonts w:ascii="Tahoma" w:hAnsi="Tahoma" w:cs="Tahoma"/>
          <w:color w:val="32312E"/>
          <w:sz w:val="23"/>
          <w:szCs w:val="23"/>
        </w:rPr>
        <w:br/>
        <w:t>21) obsługa imprez masowych organizowanych na terenie Miasta w zakresie zaopatrzenia w energię, wodę i kabiny WC,</w:t>
      </w:r>
      <w:r>
        <w:rPr>
          <w:rFonts w:ascii="Tahoma" w:hAnsi="Tahoma" w:cs="Tahoma"/>
          <w:color w:val="32312E"/>
          <w:sz w:val="23"/>
          <w:szCs w:val="23"/>
        </w:rPr>
        <w:br/>
        <w:t>22) wykonywanie czynności niezbędnych dla zapewnienia prowadzenia działalności targowiskowych na terenie Miasta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,</w:t>
      </w:r>
      <w:r>
        <w:rPr>
          <w:rFonts w:ascii="Tahoma" w:hAnsi="Tahoma" w:cs="Tahoma"/>
          <w:color w:val="32312E"/>
          <w:sz w:val="23"/>
          <w:szCs w:val="23"/>
        </w:rPr>
        <w:br/>
        <w:t>23) wykonywanie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czynności związanych z przejęciem pojazdu porzuconego z zamiarem wyzbycia się na rzecz gminy w trybie art. 50 a ustawy Prawo ruchu drogowym,</w:t>
      </w:r>
      <w:r>
        <w:rPr>
          <w:rFonts w:ascii="Tahoma" w:hAnsi="Tahoma" w:cs="Tahoma"/>
          <w:color w:val="32312E"/>
          <w:sz w:val="23"/>
          <w:szCs w:val="23"/>
        </w:rPr>
        <w:br/>
        <w:t xml:space="preserve">24) koordynowanie monitoringu i aktualizacji Programu Ochrony Środowiska dla Miasta </w:t>
      </w:r>
      <w:r>
        <w:rPr>
          <w:rFonts w:ascii="Tahoma" w:hAnsi="Tahoma" w:cs="Tahoma"/>
          <w:color w:val="32312E"/>
          <w:sz w:val="23"/>
          <w:szCs w:val="23"/>
        </w:rPr>
        <w:lastRenderedPageBreak/>
        <w:t>Kielce oraz przygotowanie okresowych raportów z jego realizacji,</w:t>
      </w:r>
      <w:r>
        <w:rPr>
          <w:rFonts w:ascii="Tahoma" w:hAnsi="Tahoma" w:cs="Tahoma"/>
          <w:color w:val="32312E"/>
          <w:sz w:val="23"/>
          <w:szCs w:val="23"/>
        </w:rPr>
        <w:br/>
        <w:t>25) koordynacja udzielania informacji o środowisku i jego ochronie,</w:t>
      </w:r>
      <w:r>
        <w:rPr>
          <w:rFonts w:ascii="Tahoma" w:hAnsi="Tahoma" w:cs="Tahoma"/>
          <w:color w:val="32312E"/>
          <w:sz w:val="23"/>
          <w:szCs w:val="23"/>
        </w:rPr>
        <w:br/>
        <w:t>26) prowadzenie spraw z zakresu ochrony przed emisjami: hałasem wibracjami, wprowadzaniem gazów i pyłów do powietrza, wprowadzaniem ścieków do wód i do ziemi,</w:t>
      </w:r>
      <w:r>
        <w:rPr>
          <w:rFonts w:ascii="Tahoma" w:hAnsi="Tahoma" w:cs="Tahoma"/>
          <w:color w:val="32312E"/>
          <w:sz w:val="23"/>
          <w:szCs w:val="23"/>
        </w:rPr>
        <w:br/>
        <w:t>27) prowadzenie spraw z zakresu oddziaływania na środowisko planowanych przedsięwzięć,</w:t>
      </w:r>
      <w:r>
        <w:rPr>
          <w:rFonts w:ascii="Tahoma" w:hAnsi="Tahoma" w:cs="Tahoma"/>
          <w:color w:val="32312E"/>
          <w:sz w:val="23"/>
          <w:szCs w:val="23"/>
        </w:rPr>
        <w:br/>
        <w:t>28) wykonywanie zadań wnikających z ustawy Prawo geologiczne i górnicze,</w:t>
      </w:r>
      <w:r>
        <w:rPr>
          <w:rFonts w:ascii="Tahoma" w:hAnsi="Tahoma" w:cs="Tahoma"/>
          <w:color w:val="32312E"/>
          <w:sz w:val="23"/>
          <w:szCs w:val="23"/>
        </w:rPr>
        <w:br/>
        <w:t>29) prowadzenie spraw z zakresu Prawa wodnego,</w:t>
      </w:r>
      <w:r>
        <w:rPr>
          <w:rFonts w:ascii="Tahoma" w:hAnsi="Tahoma" w:cs="Tahoma"/>
          <w:color w:val="32312E"/>
          <w:sz w:val="23"/>
          <w:szCs w:val="23"/>
        </w:rPr>
        <w:br/>
        <w:t>30) prowadzenie spraw z zakresu tworzenia i utrzymywania form ochrony przyrody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,</w:t>
      </w:r>
      <w:r>
        <w:rPr>
          <w:rFonts w:ascii="Tahoma" w:hAnsi="Tahoma" w:cs="Tahoma"/>
          <w:color w:val="32312E"/>
          <w:sz w:val="23"/>
          <w:szCs w:val="23"/>
        </w:rPr>
        <w:br/>
        <w:t>31) planowanie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i realizacja zadań z zakresu edukacji ekologicznej i propagowania ochrony środowiska i przyrody,</w:t>
      </w:r>
      <w:r>
        <w:rPr>
          <w:rFonts w:ascii="Tahoma" w:hAnsi="Tahoma" w:cs="Tahoma"/>
          <w:color w:val="32312E"/>
          <w:sz w:val="23"/>
          <w:szCs w:val="23"/>
        </w:rPr>
        <w:br/>
        <w:t>32) koordynacja akcji i kampanii na rzecz ochrony środowiska i rozwoju zrównoważonego,</w:t>
      </w:r>
      <w:r>
        <w:rPr>
          <w:rFonts w:ascii="Tahoma" w:hAnsi="Tahoma" w:cs="Tahoma"/>
          <w:color w:val="32312E"/>
          <w:sz w:val="23"/>
          <w:szCs w:val="23"/>
        </w:rPr>
        <w:br/>
        <w:t>33) prowadzenie procedur powierzenia, nadzór i rozliczanie zadań na rzecz ochrony środowiska i rozwoju zrównoważonego, prowadzonych przez organizacje pożytku publicznego,</w:t>
      </w:r>
      <w:r>
        <w:rPr>
          <w:rFonts w:ascii="Tahoma" w:hAnsi="Tahoma" w:cs="Tahoma"/>
          <w:color w:val="32312E"/>
          <w:sz w:val="23"/>
          <w:szCs w:val="23"/>
        </w:rPr>
        <w:br/>
        <w:t>34) koordynacja i prowadzenie obsługi organizacyjnej planowania i rozliczeń środków finansowych przeznaczonych na zadania z zakresu ochrony środowiska i gospodarki wodnej,</w:t>
      </w:r>
      <w:r>
        <w:rPr>
          <w:rFonts w:ascii="Tahoma" w:hAnsi="Tahoma" w:cs="Tahoma"/>
          <w:color w:val="32312E"/>
          <w:sz w:val="23"/>
          <w:szCs w:val="23"/>
        </w:rPr>
        <w:br/>
        <w:t>35) prowadzenie ewidencji przydomowych oczyszczalni ścieków,</w:t>
      </w:r>
      <w:r>
        <w:rPr>
          <w:rFonts w:ascii="Tahoma" w:hAnsi="Tahoma" w:cs="Tahoma"/>
          <w:color w:val="32312E"/>
          <w:sz w:val="23"/>
          <w:szCs w:val="23"/>
        </w:rPr>
        <w:br/>
        <w:t>36) wykonywanie zadań wynikających z ustawy o odpadach,</w:t>
      </w:r>
      <w:r>
        <w:rPr>
          <w:rFonts w:ascii="Tahoma" w:hAnsi="Tahoma" w:cs="Tahoma"/>
          <w:color w:val="32312E"/>
          <w:sz w:val="23"/>
          <w:szCs w:val="23"/>
        </w:rPr>
        <w:br/>
        <w:t>37) opracowywanie założeń do planu zaopatrzenia Miasta w ciepło, energię elektryczną, paliwa gazowe i wodę,</w:t>
      </w:r>
      <w:r>
        <w:rPr>
          <w:rFonts w:ascii="Tahoma" w:hAnsi="Tahoma" w:cs="Tahoma"/>
          <w:color w:val="32312E"/>
          <w:sz w:val="23"/>
          <w:szCs w:val="23"/>
        </w:rPr>
        <w:br/>
        <w:t>38) nadzór nad realizacją polityki energetycznej na obszarze gminy określonej w „Założeniach do planu zaopatrzenia w ciepło, energię elektryczną i paliwa gazowe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”,</w:t>
      </w:r>
      <w:r>
        <w:rPr>
          <w:rFonts w:ascii="Tahoma" w:hAnsi="Tahoma" w:cs="Tahoma"/>
          <w:color w:val="32312E"/>
          <w:sz w:val="23"/>
          <w:szCs w:val="23"/>
        </w:rPr>
        <w:br/>
        <w:t>39) opracowanie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i monitorowanie Planu Gospodarki Niskoemisyjnej,</w:t>
      </w:r>
      <w:r>
        <w:rPr>
          <w:rFonts w:ascii="Tahoma" w:hAnsi="Tahoma" w:cs="Tahoma"/>
          <w:color w:val="32312E"/>
          <w:sz w:val="23"/>
          <w:szCs w:val="23"/>
        </w:rPr>
        <w:br/>
        <w:t>40) wykonywanie zadań związanych z realizacją programów wspierających wymianę instalacji grzewczych w ramach ochrony przed niską emisją,</w:t>
      </w:r>
      <w:r>
        <w:rPr>
          <w:rFonts w:ascii="Tahoma" w:hAnsi="Tahoma" w:cs="Tahoma"/>
          <w:color w:val="32312E"/>
          <w:sz w:val="23"/>
          <w:szCs w:val="23"/>
        </w:rPr>
        <w:br/>
        <w:t>41) prowadzenie bazy danych o gospodarce energetycznej, cieplnej i gospodarce wodno - ściekowej w obiektach gminnych,</w:t>
      </w:r>
      <w:r>
        <w:rPr>
          <w:rFonts w:ascii="Tahoma" w:hAnsi="Tahoma" w:cs="Tahoma"/>
          <w:color w:val="32312E"/>
          <w:sz w:val="23"/>
          <w:szCs w:val="23"/>
        </w:rPr>
        <w:br/>
        <w:t>42) prowadzenie spraw związanych z zakupem energii elektrycznej,</w:t>
      </w:r>
      <w:r>
        <w:rPr>
          <w:rFonts w:ascii="Tahoma" w:hAnsi="Tahoma" w:cs="Tahoma"/>
          <w:color w:val="32312E"/>
          <w:sz w:val="23"/>
          <w:szCs w:val="23"/>
        </w:rPr>
        <w:br/>
        <w:t>43) wyznaczanie kierunków związanych z systemami oświetlenia miasta i ich modernizacją oraz współpraca z zarządcą oświetlenia w sektorze publicznym Miasta,</w:t>
      </w:r>
      <w:r>
        <w:rPr>
          <w:rFonts w:ascii="Tahoma" w:hAnsi="Tahoma" w:cs="Tahoma"/>
          <w:color w:val="32312E"/>
          <w:sz w:val="23"/>
          <w:szCs w:val="23"/>
        </w:rPr>
        <w:br/>
        <w:t>44) monitorowanie audytów energetycznych dla obiektów Miasta,</w:t>
      </w:r>
      <w:r>
        <w:rPr>
          <w:rFonts w:ascii="Tahoma" w:hAnsi="Tahoma" w:cs="Tahoma"/>
          <w:color w:val="32312E"/>
          <w:sz w:val="23"/>
          <w:szCs w:val="23"/>
        </w:rPr>
        <w:br/>
        <w:t>45) realizacja programu rozwoju elektromobilności,</w:t>
      </w:r>
      <w:r>
        <w:rPr>
          <w:rFonts w:ascii="Tahoma" w:hAnsi="Tahoma" w:cs="Tahoma"/>
          <w:color w:val="32312E"/>
          <w:sz w:val="23"/>
          <w:szCs w:val="23"/>
        </w:rPr>
        <w:br/>
        <w:t xml:space="preserve">46) wydawanie </w:t>
      </w:r>
      <w:proofErr w:type="spellStart"/>
      <w:r>
        <w:rPr>
          <w:rFonts w:ascii="Tahoma" w:hAnsi="Tahoma" w:cs="Tahoma"/>
          <w:color w:val="32312E"/>
          <w:sz w:val="23"/>
          <w:szCs w:val="23"/>
        </w:rPr>
        <w:t>eko</w:t>
      </w:r>
      <w:proofErr w:type="spellEnd"/>
      <w:r>
        <w:rPr>
          <w:rFonts w:ascii="Tahoma" w:hAnsi="Tahoma" w:cs="Tahoma"/>
          <w:color w:val="32312E"/>
          <w:sz w:val="23"/>
          <w:szCs w:val="23"/>
        </w:rPr>
        <w:t>-nalepek dla oznaczania pojazdów napędzanych energią elektryczną(EE),wodorem(H), gazem ziemnym sprężonym(CNG) oraz gazem ziemnym skroplonym(LNG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),</w:t>
      </w:r>
      <w:r>
        <w:rPr>
          <w:rFonts w:ascii="Tahoma" w:hAnsi="Tahoma" w:cs="Tahoma"/>
          <w:color w:val="32312E"/>
          <w:sz w:val="23"/>
          <w:szCs w:val="23"/>
        </w:rPr>
        <w:br/>
        <w:t>47) opiniowanie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rozwiązań do miejscowych planów zagospodarowania przestrzennego w zakresie zaopatrzenia w ciepło, energię elektryczną i paliwa gazowe,</w:t>
      </w:r>
      <w:r>
        <w:rPr>
          <w:rFonts w:ascii="Tahoma" w:hAnsi="Tahoma" w:cs="Tahoma"/>
          <w:color w:val="32312E"/>
          <w:sz w:val="23"/>
          <w:szCs w:val="23"/>
        </w:rPr>
        <w:br/>
        <w:t>48) prowadzenie działalności informacyjnej z zakresu efektywności energetycznej, skierowanej do użytkowników obiektów komunalnych oraz mieszkańców miasta,</w:t>
      </w:r>
      <w:r>
        <w:rPr>
          <w:rFonts w:ascii="Tahoma" w:hAnsi="Tahoma" w:cs="Tahoma"/>
          <w:color w:val="32312E"/>
          <w:sz w:val="23"/>
          <w:szCs w:val="23"/>
        </w:rPr>
        <w:br/>
        <w:t>49) propagowanie wśród mieszkańców pro-energetycznych i pro-ekologicznych zachowań,</w:t>
      </w:r>
      <w:r>
        <w:rPr>
          <w:rFonts w:ascii="Tahoma" w:hAnsi="Tahoma" w:cs="Tahoma"/>
          <w:color w:val="32312E"/>
          <w:sz w:val="23"/>
          <w:szCs w:val="23"/>
        </w:rPr>
        <w:br/>
        <w:t>50) wydawanie zaświadczeń związanych z położeniem nieruchomości na terenie objętym uproszczonym planem urządzania lasu.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 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 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center"/>
        <w:rPr>
          <w:rFonts w:ascii="Tahoma" w:hAnsi="Tahoma" w:cs="Tahoma"/>
          <w:color w:val="32312E"/>
          <w:sz w:val="23"/>
          <w:szCs w:val="23"/>
        </w:rPr>
      </w:pPr>
      <w:r>
        <w:rPr>
          <w:rStyle w:val="Pogrubienie"/>
          <w:rFonts w:ascii="inherit" w:hAnsi="inherit" w:cs="Tahoma"/>
          <w:color w:val="32312E"/>
          <w:sz w:val="23"/>
          <w:szCs w:val="23"/>
        </w:rPr>
        <w:t>B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lastRenderedPageBreak/>
        <w:t> 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1) wykonywanie zadań w zakresie monitoringu i aktualizacji Programu Ochrony Środowiska dla Miasta oraz przygotowanie okresowych raportów z jego realizacji (w zakresie zadań powiatu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),</w:t>
      </w:r>
      <w:r>
        <w:rPr>
          <w:rFonts w:ascii="Tahoma" w:hAnsi="Tahoma" w:cs="Tahoma"/>
          <w:color w:val="32312E"/>
          <w:sz w:val="23"/>
          <w:szCs w:val="23"/>
        </w:rPr>
        <w:br/>
        <w:t>2) wykonywanie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zadań wynikających z ustawy o ochronie przyrody i prawa łowieckiego,</w:t>
      </w:r>
      <w:r>
        <w:rPr>
          <w:rFonts w:ascii="Tahoma" w:hAnsi="Tahoma" w:cs="Tahoma"/>
          <w:color w:val="32312E"/>
          <w:sz w:val="23"/>
          <w:szCs w:val="23"/>
        </w:rPr>
        <w:br/>
        <w:t>3) nadzór nad gospodarką leśną w lasach nie stanowiących własności Skarbu Państwa,</w:t>
      </w:r>
      <w:r>
        <w:rPr>
          <w:rFonts w:ascii="Tahoma" w:hAnsi="Tahoma" w:cs="Tahoma"/>
          <w:color w:val="32312E"/>
          <w:sz w:val="23"/>
          <w:szCs w:val="23"/>
        </w:rPr>
        <w:br/>
        <w:t>4) realizacja zadań wynikających z ustawy Prawo geologiczne i górnicze,</w:t>
      </w:r>
      <w:r>
        <w:rPr>
          <w:rFonts w:ascii="Tahoma" w:hAnsi="Tahoma" w:cs="Tahoma"/>
          <w:color w:val="32312E"/>
          <w:sz w:val="23"/>
          <w:szCs w:val="23"/>
        </w:rPr>
        <w:br/>
        <w:t>5) obsługa i gospodarowanie środkami finansowymi przeznaczonymi na rzecz ochrony środowiska i gospodarki wodnej,</w:t>
      </w:r>
      <w:r>
        <w:rPr>
          <w:rFonts w:ascii="Tahoma" w:hAnsi="Tahoma" w:cs="Tahoma"/>
          <w:color w:val="32312E"/>
          <w:sz w:val="23"/>
          <w:szCs w:val="23"/>
        </w:rPr>
        <w:br/>
        <w:t>6) przygotowywanie dokumentów związanych z przeznaczeniem gruntów rolnych pod zalesienia,</w:t>
      </w:r>
      <w:r>
        <w:rPr>
          <w:rFonts w:ascii="Tahoma" w:hAnsi="Tahoma" w:cs="Tahoma"/>
          <w:color w:val="32312E"/>
          <w:sz w:val="23"/>
          <w:szCs w:val="23"/>
        </w:rPr>
        <w:br/>
        <w:t>7) wydawanie decyzji w sprawach rekultywacji i zagospodarowania gruntów,</w:t>
      </w:r>
      <w:r>
        <w:rPr>
          <w:rFonts w:ascii="Tahoma" w:hAnsi="Tahoma" w:cs="Tahoma"/>
          <w:color w:val="32312E"/>
          <w:sz w:val="23"/>
          <w:szCs w:val="23"/>
        </w:rPr>
        <w:br/>
        <w:t>8) wykonywanie zadań wynikających z ustawy o odpadach,</w:t>
      </w:r>
      <w:r>
        <w:rPr>
          <w:rFonts w:ascii="Tahoma" w:hAnsi="Tahoma" w:cs="Tahoma"/>
          <w:color w:val="32312E"/>
          <w:sz w:val="23"/>
          <w:szCs w:val="23"/>
        </w:rPr>
        <w:br/>
        <w:t>9) realizacja zadań wynikających z ustawy Prawo wodne,</w:t>
      </w:r>
      <w:r>
        <w:rPr>
          <w:rFonts w:ascii="Tahoma" w:hAnsi="Tahoma" w:cs="Tahoma"/>
          <w:color w:val="32312E"/>
          <w:sz w:val="23"/>
          <w:szCs w:val="23"/>
        </w:rPr>
        <w:br/>
        <w:t xml:space="preserve">10) opiniowanie 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projektów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decyzji na podstawie ustawy o planowaniu i zagospodarowaniu przestrzennym.</w:t>
      </w:r>
      <w:r>
        <w:rPr>
          <w:rFonts w:ascii="Tahoma" w:hAnsi="Tahoma" w:cs="Tahoma"/>
          <w:color w:val="32312E"/>
          <w:sz w:val="23"/>
          <w:szCs w:val="23"/>
        </w:rPr>
        <w:br/>
        <w:t>11) wykonywanie czynności związanych z usuwaniem pojazdów pozostawionych na drogach i chodnikach oraz ich holowaniem na wyznaczone parkingi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,</w:t>
      </w:r>
      <w:r>
        <w:rPr>
          <w:rFonts w:ascii="Tahoma" w:hAnsi="Tahoma" w:cs="Tahoma"/>
          <w:color w:val="32312E"/>
          <w:sz w:val="23"/>
          <w:szCs w:val="23"/>
        </w:rPr>
        <w:br/>
        <w:t>12) występowanie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z wnioskiem do Sądu o orzeczenie przepadku pojazdu na rzecz powiatu,</w:t>
      </w:r>
      <w:r>
        <w:rPr>
          <w:rFonts w:ascii="Tahoma" w:hAnsi="Tahoma" w:cs="Tahoma"/>
          <w:color w:val="32312E"/>
          <w:sz w:val="23"/>
          <w:szCs w:val="23"/>
        </w:rPr>
        <w:br/>
        <w:t>13) przygotowanie dokumentów niezbędnych do wydania zezwolenia na sprowadzenie zwłok i szczątków z obcego państwa,</w:t>
      </w:r>
      <w:r>
        <w:rPr>
          <w:rFonts w:ascii="Tahoma" w:hAnsi="Tahoma" w:cs="Tahoma"/>
          <w:color w:val="32312E"/>
          <w:sz w:val="23"/>
          <w:szCs w:val="23"/>
        </w:rPr>
        <w:br/>
        <w:t>14) przygotowanie dokumentów do wydania decyzji administracyjnej dotyczących przekazania zwłok osób pozbawionych wolności, zmarłych w zakładach karnych i aresztach śledczych, uczelni medycznej lub publicznej uczelni prowadzącej działalność dydaktyczną i badawczą w dziedzinie nauk medycznych do celów naukowych.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 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 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center"/>
        <w:rPr>
          <w:rFonts w:ascii="Tahoma" w:hAnsi="Tahoma" w:cs="Tahoma"/>
          <w:color w:val="32312E"/>
          <w:sz w:val="23"/>
          <w:szCs w:val="23"/>
        </w:rPr>
      </w:pPr>
      <w:r>
        <w:rPr>
          <w:rStyle w:val="Pogrubienie"/>
          <w:rFonts w:ascii="inherit" w:hAnsi="inherit" w:cs="Tahoma"/>
          <w:color w:val="32312E"/>
          <w:sz w:val="23"/>
          <w:szCs w:val="23"/>
        </w:rPr>
        <w:t>C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 </w:t>
      </w:r>
    </w:p>
    <w:p w:rsidR="000F6946" w:rsidRDefault="000F6946" w:rsidP="000F6946">
      <w:pPr>
        <w:pStyle w:val="NormalnyWeb"/>
        <w:shd w:val="clear" w:color="auto" w:fill="F3F3F3"/>
        <w:spacing w:before="0" w:beforeAutospacing="0" w:after="0" w:afterAutospacing="0"/>
        <w:jc w:val="both"/>
        <w:rPr>
          <w:rFonts w:ascii="Tahoma" w:hAnsi="Tahoma" w:cs="Tahoma"/>
          <w:color w:val="32312E"/>
          <w:sz w:val="23"/>
          <w:szCs w:val="23"/>
        </w:rPr>
      </w:pPr>
      <w:r>
        <w:rPr>
          <w:rFonts w:ascii="Tahoma" w:hAnsi="Tahoma" w:cs="Tahoma"/>
          <w:color w:val="32312E"/>
          <w:sz w:val="23"/>
          <w:szCs w:val="23"/>
        </w:rPr>
        <w:t>1) kontrola przestrzegania przepisów - Prawo łowieckiego oraz ustawy o lasach</w:t>
      </w:r>
      <w:proofErr w:type="gramStart"/>
      <w:r>
        <w:rPr>
          <w:rFonts w:ascii="Tahoma" w:hAnsi="Tahoma" w:cs="Tahoma"/>
          <w:color w:val="32312E"/>
          <w:sz w:val="23"/>
          <w:szCs w:val="23"/>
        </w:rPr>
        <w:t>,</w:t>
      </w:r>
      <w:r>
        <w:rPr>
          <w:rFonts w:ascii="Tahoma" w:hAnsi="Tahoma" w:cs="Tahoma"/>
          <w:color w:val="32312E"/>
          <w:sz w:val="23"/>
          <w:szCs w:val="23"/>
        </w:rPr>
        <w:br/>
        <w:t>2) wydawanie</w:t>
      </w:r>
      <w:proofErr w:type="gramEnd"/>
      <w:r>
        <w:rPr>
          <w:rFonts w:ascii="Tahoma" w:hAnsi="Tahoma" w:cs="Tahoma"/>
          <w:color w:val="32312E"/>
          <w:sz w:val="23"/>
          <w:szCs w:val="23"/>
        </w:rPr>
        <w:t xml:space="preserve"> decyzji administracyjnych z zakresu ustawy o ochronie gruntów rolnych i leśnych,</w:t>
      </w:r>
      <w:r>
        <w:rPr>
          <w:rFonts w:ascii="Tahoma" w:hAnsi="Tahoma" w:cs="Tahoma"/>
          <w:color w:val="32312E"/>
          <w:sz w:val="23"/>
          <w:szCs w:val="23"/>
        </w:rPr>
        <w:br/>
        <w:t>3) utrzymanie, opieka i nadzór nad grobami i cmentarzami wojennymi,</w:t>
      </w:r>
      <w:r>
        <w:rPr>
          <w:rFonts w:ascii="Tahoma" w:hAnsi="Tahoma" w:cs="Tahoma"/>
          <w:color w:val="32312E"/>
          <w:sz w:val="23"/>
          <w:szCs w:val="23"/>
        </w:rPr>
        <w:br/>
        <w:t>4) przekazywanie do bazy CEIDG danych i informacji o zezwoleniach i rejestrach dotyczących przedsiębiorców i innych podmiotów prowadzących działalność gospodarczą na terenie Gminy Kielce.</w:t>
      </w:r>
      <w:r>
        <w:rPr>
          <w:rFonts w:ascii="Tahoma" w:hAnsi="Tahoma" w:cs="Tahoma"/>
          <w:color w:val="32312E"/>
          <w:sz w:val="23"/>
          <w:szCs w:val="23"/>
        </w:rPr>
        <w:br/>
        <w:t> </w:t>
      </w:r>
    </w:p>
    <w:p w:rsidR="008077A3" w:rsidRDefault="008077A3"/>
    <w:sectPr w:rsidR="0080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46"/>
    <w:rsid w:val="000F6946"/>
    <w:rsid w:val="008077A3"/>
    <w:rsid w:val="00976AE9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9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Dominika Madej</cp:lastModifiedBy>
  <cp:revision>1</cp:revision>
  <dcterms:created xsi:type="dcterms:W3CDTF">2019-04-26T11:15:00Z</dcterms:created>
  <dcterms:modified xsi:type="dcterms:W3CDTF">2019-04-26T11:16:00Z</dcterms:modified>
</cp:coreProperties>
</file>